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79" w:lineRule="exact"/>
        <w:ind w:right="0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300" w:lineRule="exact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79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2023年海南自贸港创业大赛先进个人评分表</w:t>
      </w:r>
    </w:p>
    <w:tbl>
      <w:tblPr>
        <w:tblStyle w:val="3"/>
        <w:tblpPr w:leftFromText="180" w:rightFromText="180" w:vertAnchor="text" w:horzAnchor="page" w:tblpX="1564" w:tblpY="250"/>
        <w:tblOverlap w:val="never"/>
        <w:tblW w:w="88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234"/>
        <w:gridCol w:w="5988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评分事项</w:t>
            </w:r>
          </w:p>
        </w:tc>
        <w:tc>
          <w:tcPr>
            <w:tcW w:w="5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评分标准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  <w:t>开展创业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  <w:t>大赛组织</w:t>
            </w:r>
          </w:p>
        </w:tc>
        <w:tc>
          <w:tcPr>
            <w:tcW w:w="5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负责组织开展2023年创业大赛组织宣传工作。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5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组织项目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报名参赛</w:t>
            </w:r>
          </w:p>
        </w:tc>
        <w:tc>
          <w:tcPr>
            <w:tcW w:w="5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按个人组织本赛区参赛项目数量在全省排名评分。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1.市县（个人）：排名1至3，得20分；排名4至6，得18分；排名7至9，得15分；排名10至12，得12分；排名13至15，得9分；排名16至18，得6分。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2.高校（老师）：排名第1至3，得20分；排名4至6，得18分；排名7至10，得15分；排名11至14，得12分；排名15至18，得9分；排名19至21，得6分。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提供创业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指导</w:t>
            </w:r>
          </w:p>
        </w:tc>
        <w:tc>
          <w:tcPr>
            <w:tcW w:w="5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right="0" w:firstLine="210" w:firstLineChars="1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为本赛区参赛项目提供创业指导，按个人指导项目数量评分。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1.市县（个人）：排名第1，得30分；排名2至3，得27分；排名4至6，得24分；排名7至9，得21分；排名10至12，得18分；排名13至15，得15分；排名16至18，得12分。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2.高校（老师）：排名第1，得30分；排名2至5，得27分；排名6至9，得24分；排名10至13，得21分；排名14至17，得18分；排名18至21，得15分。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指导推送参加省级初赛项目数量</w:t>
            </w:r>
          </w:p>
        </w:tc>
        <w:tc>
          <w:tcPr>
            <w:tcW w:w="5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按个人指导推送参加省级初赛项目数量评分。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1.市县（个人）：指导本市县指标项目数量的100%-80%，得10分；79%至60%，得7分；59%至30%，得5分；29%至10%，得3分；9%及以下，不得分。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2.高校（老师）：指导本校指标项目数量的100%-80%，得10分；79%至60%，得7分；59%至30%，得5分；29%至10%，得3分；9%及以下，不得分。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晋级省级决赛</w:t>
            </w:r>
          </w:p>
        </w:tc>
        <w:tc>
          <w:tcPr>
            <w:tcW w:w="5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个人指导项目晋级省级决赛项目，每个得5分，最多得分不超过10分。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省级决赛获奖</w:t>
            </w:r>
          </w:p>
        </w:tc>
        <w:tc>
          <w:tcPr>
            <w:tcW w:w="5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个人指导项目晋级省级决赛项目，每个得5分，最多得分不超过10分。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WI5NWYwYWEzNDUyYjI5OTM5M2JhNzNhZDdkNGEifQ=="/>
  </w:docVars>
  <w:rsids>
    <w:rsidRoot w:val="305059DF"/>
    <w:rsid w:val="05971839"/>
    <w:rsid w:val="3050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964" w:firstLineChars="200"/>
    </w:pPr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2023-04-08T09:32:00Z</dcterms:created>
  <dc:creator>yizon</dc:creator>
  <cp:lastModifiedBy>yizon</cp:lastModifiedBy>
  <dcterms:modified xsi:type="dcterms:W3CDTF">2023-04-08T10:06:13Z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A6C93E9344AA4FED8E259814745462E8_11</vt:lpwstr>
  </property>
</Properties>
</file>